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RPr="00090B4D" w:rsidTr="00C02D91">
        <w:tc>
          <w:tcPr>
            <w:tcW w:w="9853" w:type="dxa"/>
            <w:shd w:val="clear" w:color="auto" w:fill="auto"/>
          </w:tcPr>
          <w:p w:rsidR="00C02D91" w:rsidRPr="00090B4D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8"/>
                <w:szCs w:val="28"/>
                <w:lang w:val="kk-KZ"/>
              </w:rPr>
            </w:pPr>
            <w:bookmarkStart w:id="0" w:name="_GoBack"/>
            <w:r w:rsidRPr="00090B4D">
              <w:rPr>
                <w:rFonts w:ascii="Times New Roman" w:eastAsia="Times New Roman" w:hAnsi="Times New Roman" w:cs="Times New Roman"/>
                <w:color w:val="0C0000"/>
                <w:sz w:val="28"/>
                <w:szCs w:val="28"/>
                <w:lang w:val="kk-KZ"/>
              </w:rPr>
              <w:t>02.09.2020-ғы № 4496 шығыс хаты</w:t>
            </w:r>
          </w:p>
          <w:p w:rsidR="00C02D91" w:rsidRPr="00090B4D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color w:val="0C0000"/>
                <w:sz w:val="28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0B4D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0B4D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ведомствоаралық сараптамалық топтың қызметі</w:t>
      </w:r>
      <w:r w:rsidR="00A84DDD"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 ұйымдастыру бойынша ұсынымдар</w:t>
      </w:r>
    </w:p>
    <w:p w:rsidR="00FE7E21" w:rsidRPr="00090B4D" w:rsidRDefault="00FE7E21" w:rsidP="00FE7E21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17AFC" w:rsidRPr="00090B4D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 w:rsidRPr="00090B4D">
        <w:rPr>
          <w:sz w:val="28"/>
          <w:szCs w:val="28"/>
          <w:lang w:val="kk-KZ"/>
        </w:rPr>
        <w:t>лық</w:t>
      </w:r>
      <w:r w:rsidRPr="00090B4D">
        <w:rPr>
          <w:sz w:val="28"/>
          <w:szCs w:val="28"/>
          <w:lang w:val="kk-KZ"/>
        </w:rPr>
        <w:t xml:space="preserve"> то</w:t>
      </w:r>
      <w:r w:rsidR="00581370" w:rsidRPr="00090B4D">
        <w:rPr>
          <w:sz w:val="28"/>
          <w:szCs w:val="28"/>
          <w:lang w:val="kk-KZ"/>
        </w:rPr>
        <w:t>п</w:t>
      </w:r>
      <w:r w:rsidRPr="00090B4D">
        <w:rPr>
          <w:sz w:val="28"/>
          <w:szCs w:val="28"/>
          <w:lang w:val="kk-KZ"/>
        </w:rPr>
        <w:t xml:space="preserve"> (бұдан әрі</w:t>
      </w:r>
      <w:r w:rsidR="00A84DDD" w:rsidRPr="00090B4D">
        <w:rPr>
          <w:sz w:val="28"/>
          <w:szCs w:val="28"/>
          <w:lang w:val="kk-KZ"/>
        </w:rPr>
        <w:t xml:space="preserve"> – С</w:t>
      </w:r>
      <w:r w:rsidRPr="00090B4D">
        <w:rPr>
          <w:sz w:val="28"/>
          <w:szCs w:val="28"/>
          <w:lang w:val="kk-KZ"/>
        </w:rPr>
        <w:t>араптама</w:t>
      </w:r>
      <w:r w:rsidR="00A84DDD" w:rsidRPr="00090B4D">
        <w:rPr>
          <w:sz w:val="28"/>
          <w:szCs w:val="28"/>
          <w:lang w:val="kk-KZ"/>
        </w:rPr>
        <w:t>лық</w:t>
      </w:r>
      <w:r w:rsidRPr="00090B4D">
        <w:rPr>
          <w:sz w:val="28"/>
          <w:szCs w:val="28"/>
          <w:lang w:val="kk-KZ"/>
        </w:rPr>
        <w:t xml:space="preserve"> то</w:t>
      </w:r>
      <w:r w:rsidR="00A84DDD" w:rsidRPr="00090B4D">
        <w:rPr>
          <w:sz w:val="28"/>
          <w:szCs w:val="28"/>
          <w:lang w:val="kk-KZ"/>
        </w:rPr>
        <w:t>п</w:t>
      </w:r>
      <w:r w:rsidRPr="00090B4D">
        <w:rPr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 w:rsidRPr="00090B4D">
        <w:rPr>
          <w:sz w:val="28"/>
          <w:szCs w:val="28"/>
          <w:lang w:val="kk-KZ"/>
        </w:rPr>
        <w:t>дық</w:t>
      </w:r>
      <w:r w:rsidRPr="00090B4D">
        <w:rPr>
          <w:sz w:val="28"/>
          <w:szCs w:val="28"/>
          <w:lang w:val="kk-KZ"/>
        </w:rPr>
        <w:t xml:space="preserve"> комиссиялар</w:t>
      </w:r>
      <w:r w:rsidR="00581370" w:rsidRPr="00090B4D">
        <w:rPr>
          <w:sz w:val="28"/>
          <w:szCs w:val="28"/>
          <w:lang w:val="kk-KZ"/>
        </w:rPr>
        <w:t>д</w:t>
      </w:r>
      <w:r w:rsidRPr="00090B4D">
        <w:rPr>
          <w:sz w:val="28"/>
          <w:szCs w:val="28"/>
          <w:lang w:val="kk-KZ"/>
        </w:rPr>
        <w:t xml:space="preserve">ың) </w:t>
      </w:r>
      <w:r w:rsidR="002634A9" w:rsidRPr="00090B4D">
        <w:rPr>
          <w:sz w:val="28"/>
          <w:szCs w:val="28"/>
          <w:lang w:val="kk-KZ"/>
        </w:rPr>
        <w:t>қызметінің тиімділігіне</w:t>
      </w:r>
      <w:r w:rsidRPr="00090B4D">
        <w:rPr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0B4D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Сараптамалық топтың міндеттері:</w:t>
      </w:r>
    </w:p>
    <w:p w:rsidR="00601B04" w:rsidRPr="00090B4D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- </w:t>
      </w:r>
      <w:r w:rsidR="002634A9" w:rsidRPr="00090B4D">
        <w:rPr>
          <w:sz w:val="28"/>
          <w:szCs w:val="28"/>
          <w:lang w:val="kk-KZ"/>
        </w:rPr>
        <w:t>бракераждық комиссиялар қызметінің мониторингі</w:t>
      </w:r>
      <w:r w:rsidR="00124F95" w:rsidRPr="00090B4D">
        <w:rPr>
          <w:sz w:val="28"/>
          <w:szCs w:val="28"/>
          <w:lang w:val="kk-KZ"/>
        </w:rPr>
        <w:t>;</w:t>
      </w:r>
    </w:p>
    <w:p w:rsidR="00601B04" w:rsidRPr="00090B4D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0B4D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0B4D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0B4D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0B4D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</w:t>
      </w:r>
      <w:r w:rsidR="00124F95" w:rsidRPr="00090B4D">
        <w:rPr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0B4D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-</w:t>
      </w:r>
      <w:r w:rsidR="00601B04" w:rsidRPr="00090B4D">
        <w:rPr>
          <w:sz w:val="28"/>
          <w:szCs w:val="28"/>
          <w:lang w:val="kk-KZ"/>
        </w:rPr>
        <w:t xml:space="preserve"> </w:t>
      </w:r>
      <w:r w:rsidRPr="00090B4D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 w:rsidRPr="00090B4D">
        <w:rPr>
          <w:sz w:val="28"/>
          <w:szCs w:val="28"/>
          <w:lang w:val="kk-KZ"/>
        </w:rPr>
        <w:t xml:space="preserve">ған </w:t>
      </w:r>
      <w:r w:rsidRPr="00090B4D">
        <w:rPr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0B4D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val="kk-KZ" w:eastAsia="en-US"/>
        </w:rPr>
      </w:pPr>
      <w:r w:rsidRPr="00090B4D">
        <w:rPr>
          <w:sz w:val="28"/>
          <w:szCs w:val="28"/>
          <w:lang w:val="kk-KZ" w:eastAsia="en-US"/>
        </w:rPr>
        <w:t xml:space="preserve">           </w:t>
      </w:r>
      <w:r w:rsidRPr="00090B4D">
        <w:rPr>
          <w:rFonts w:eastAsiaTheme="minorHAnsi"/>
          <w:sz w:val="28"/>
          <w:szCs w:val="28"/>
          <w:lang w:val="kk-KZ" w:eastAsia="en-US"/>
        </w:rPr>
        <w:t xml:space="preserve">2. </w:t>
      </w:r>
      <w:r w:rsidRPr="00090B4D">
        <w:rPr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="00AD44B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келісім бойынша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 w:rsidR="004B7E76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өкілдерінен құрылады.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топтың мүше</w:t>
      </w:r>
      <w:r w:rsidR="00AD44B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леріне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шешімдердің </w:t>
      </w:r>
      <w:r w:rsidR="00AD44B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жобаларын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өзге де құжаттарды </w:t>
      </w:r>
      <w:r w:rsidR="00AD44B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жіберуді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асырады.</w:t>
      </w:r>
    </w:p>
    <w:p w:rsidR="0075229A" w:rsidRPr="00090B4D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lastRenderedPageBreak/>
        <w:t xml:space="preserve">Сараптамалық топ мүшелерінің саны </w:t>
      </w:r>
      <w:r w:rsidR="00AD44B5" w:rsidRPr="00090B4D">
        <w:rPr>
          <w:sz w:val="28"/>
          <w:szCs w:val="28"/>
          <w:lang w:val="kk-KZ"/>
        </w:rPr>
        <w:t xml:space="preserve">кемінде </w:t>
      </w:r>
      <w:r w:rsidRPr="00090B4D">
        <w:rPr>
          <w:sz w:val="28"/>
          <w:szCs w:val="28"/>
          <w:lang w:val="kk-KZ"/>
        </w:rPr>
        <w:t>7 адам, оның ішінде ата-аналар қ</w:t>
      </w:r>
      <w:r w:rsidR="00AD44B5" w:rsidRPr="00090B4D">
        <w:rPr>
          <w:sz w:val="28"/>
          <w:szCs w:val="28"/>
          <w:lang w:val="kk-KZ"/>
        </w:rPr>
        <w:t>ауы</w:t>
      </w:r>
      <w:r w:rsidRPr="00090B4D">
        <w:rPr>
          <w:sz w:val="28"/>
          <w:szCs w:val="28"/>
          <w:lang w:val="kk-KZ"/>
        </w:rPr>
        <w:t>мдастығын</w:t>
      </w:r>
      <w:r w:rsidR="00AD44B5" w:rsidRPr="00090B4D">
        <w:rPr>
          <w:sz w:val="28"/>
          <w:szCs w:val="28"/>
          <w:lang w:val="kk-KZ"/>
        </w:rPr>
        <w:t>а</w:t>
      </w:r>
      <w:r w:rsidRPr="00090B4D">
        <w:rPr>
          <w:sz w:val="28"/>
          <w:szCs w:val="28"/>
          <w:lang w:val="kk-KZ"/>
        </w:rPr>
        <w:t xml:space="preserve">н </w:t>
      </w:r>
      <w:r w:rsidR="00AD44B5" w:rsidRPr="00090B4D">
        <w:rPr>
          <w:sz w:val="28"/>
          <w:szCs w:val="28"/>
          <w:lang w:val="kk-KZ"/>
        </w:rPr>
        <w:t xml:space="preserve">кемінде </w:t>
      </w:r>
      <w:r w:rsidRPr="00090B4D">
        <w:rPr>
          <w:sz w:val="28"/>
          <w:szCs w:val="28"/>
          <w:lang w:val="kk-KZ"/>
        </w:rPr>
        <w:t xml:space="preserve">3 адам болуы тиіс. </w:t>
      </w:r>
    </w:p>
    <w:p w:rsidR="00FE7E21" w:rsidRPr="00090B4D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rFonts w:eastAsiaTheme="minorHAnsi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0B4D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90B4D">
        <w:rPr>
          <w:rFonts w:eastAsiaTheme="minorHAnsi"/>
          <w:sz w:val="28"/>
          <w:szCs w:val="28"/>
          <w:lang w:val="kk-KZ"/>
        </w:rPr>
        <w:t>Сараптама</w:t>
      </w:r>
      <w:r w:rsidR="0075229A" w:rsidRPr="00090B4D">
        <w:rPr>
          <w:rFonts w:eastAsiaTheme="minorHAnsi"/>
          <w:sz w:val="28"/>
          <w:szCs w:val="28"/>
          <w:lang w:val="kk-KZ"/>
        </w:rPr>
        <w:t>лық</w:t>
      </w:r>
      <w:r w:rsidRPr="00090B4D">
        <w:rPr>
          <w:rFonts w:eastAsiaTheme="minorHAnsi"/>
          <w:sz w:val="28"/>
          <w:szCs w:val="28"/>
          <w:lang w:val="kk-KZ"/>
        </w:rPr>
        <w:t xml:space="preserve"> то</w:t>
      </w:r>
      <w:r w:rsidR="0075229A" w:rsidRPr="00090B4D">
        <w:rPr>
          <w:rFonts w:eastAsiaTheme="minorHAnsi"/>
          <w:sz w:val="28"/>
          <w:szCs w:val="28"/>
          <w:lang w:val="kk-KZ"/>
        </w:rPr>
        <w:t>пт</w:t>
      </w:r>
      <w:r w:rsidRPr="00090B4D">
        <w:rPr>
          <w:rFonts w:eastAsiaTheme="minorHAnsi"/>
          <w:sz w:val="28"/>
          <w:szCs w:val="28"/>
          <w:lang w:val="kk-KZ"/>
        </w:rPr>
        <w:t>ың түрі:</w:t>
      </w:r>
    </w:p>
    <w:p w:rsidR="00FE7E21" w:rsidRPr="00090B4D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90B4D">
        <w:rPr>
          <w:rFonts w:eastAsiaTheme="minorHAnsi"/>
          <w:sz w:val="28"/>
          <w:szCs w:val="28"/>
          <w:lang w:val="kk-KZ"/>
        </w:rPr>
        <w:t>- аудандық;</w:t>
      </w:r>
    </w:p>
    <w:p w:rsidR="00FE7E21" w:rsidRPr="00090B4D" w:rsidRDefault="00FE7E21" w:rsidP="00FE7E21">
      <w:pPr>
        <w:pStyle w:val="a6"/>
        <w:tabs>
          <w:tab w:val="left" w:pos="1134"/>
        </w:tabs>
        <w:ind w:hanging="11"/>
        <w:jc w:val="both"/>
        <w:rPr>
          <w:rFonts w:eastAsiaTheme="minorHAnsi"/>
          <w:sz w:val="28"/>
          <w:szCs w:val="28"/>
          <w:lang w:val="kk-KZ"/>
        </w:rPr>
      </w:pPr>
      <w:r w:rsidRPr="00090B4D">
        <w:rPr>
          <w:rFonts w:eastAsiaTheme="minorHAnsi"/>
          <w:sz w:val="28"/>
          <w:szCs w:val="28"/>
          <w:lang w:val="kk-KZ"/>
        </w:rPr>
        <w:t>- қалалық;</w:t>
      </w:r>
    </w:p>
    <w:p w:rsidR="00FE7E21" w:rsidRPr="00090B4D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val="kk-KZ"/>
        </w:rPr>
      </w:pPr>
      <w:r w:rsidRPr="00090B4D">
        <w:rPr>
          <w:rFonts w:eastAsiaTheme="minorHAnsi"/>
          <w:sz w:val="28"/>
          <w:szCs w:val="28"/>
          <w:lang w:val="kk-KZ"/>
        </w:rPr>
        <w:t>- облыстық.</w:t>
      </w:r>
    </w:p>
    <w:p w:rsidR="00FE7E21" w:rsidRPr="00090B4D" w:rsidRDefault="00FE7E21" w:rsidP="00FE7E21">
      <w:pPr>
        <w:tabs>
          <w:tab w:val="left" w:pos="0"/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Сараптамалық топ өз қызметін: 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 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>қажеттілігіне қарай, бірақ тоқсанына бір рет</w:t>
      </w:r>
      <w:r w:rsidR="00CB3D93" w:rsidRPr="00090B4D">
        <w:rPr>
          <w:rFonts w:ascii="Times New Roman" w:hAnsi="Times New Roman" w:cs="Times New Roman"/>
          <w:sz w:val="28"/>
          <w:szCs w:val="28"/>
          <w:lang w:val="kk-KZ"/>
        </w:rPr>
        <w:t>тен сиретпей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0B4D" w:rsidRDefault="00FE7E21" w:rsidP="00FE7E21">
      <w:pPr>
        <w:tabs>
          <w:tab w:val="left" w:pos="0"/>
        </w:tabs>
        <w:ind w:firstLine="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>акті</w:t>
      </w:r>
      <w:r w:rsidR="003A5190" w:rsidRPr="00090B4D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>мен ресімделеді.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0B4D" w:rsidRDefault="00FE7E21" w:rsidP="00FE7E21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өңірдің білім беру ұйымдарында</w:t>
      </w:r>
      <w:r w:rsidR="00C40700" w:rsidRPr="00090B4D">
        <w:rPr>
          <w:sz w:val="28"/>
          <w:szCs w:val="28"/>
          <w:lang w:val="kk-KZ"/>
        </w:rPr>
        <w:t>ғы</w:t>
      </w:r>
      <w:r w:rsidRPr="00090B4D">
        <w:rPr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 w:rsidRPr="00090B4D">
        <w:rPr>
          <w:sz w:val="28"/>
          <w:szCs w:val="28"/>
          <w:lang w:val="kk-KZ"/>
        </w:rPr>
        <w:t>ле</w:t>
      </w:r>
      <w:r w:rsidRPr="00090B4D">
        <w:rPr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 w:rsidRPr="00090B4D">
        <w:rPr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 w:rsidRPr="00090B4D">
        <w:rPr>
          <w:sz w:val="28"/>
          <w:szCs w:val="28"/>
          <w:lang w:val="kk-KZ"/>
        </w:rPr>
        <w:t>қатысады</w:t>
      </w:r>
      <w:r w:rsidRPr="00090B4D">
        <w:rPr>
          <w:sz w:val="28"/>
          <w:szCs w:val="28"/>
          <w:lang w:val="kk-KZ"/>
        </w:rPr>
        <w:t>;</w:t>
      </w:r>
    </w:p>
    <w:p w:rsidR="00FE7E21" w:rsidRPr="00090B4D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 w:rsidRPr="00090B4D">
        <w:rPr>
          <w:sz w:val="28"/>
          <w:szCs w:val="28"/>
          <w:lang w:val="kk-KZ"/>
        </w:rPr>
        <w:t>а</w:t>
      </w:r>
      <w:r w:rsidRPr="00090B4D">
        <w:rPr>
          <w:sz w:val="28"/>
          <w:szCs w:val="28"/>
          <w:lang w:val="kk-KZ"/>
        </w:rPr>
        <w:t xml:space="preserve"> мониторинг</w:t>
      </w:r>
      <w:r w:rsidR="00E619C6" w:rsidRPr="00090B4D">
        <w:rPr>
          <w:sz w:val="28"/>
          <w:szCs w:val="28"/>
          <w:lang w:val="kk-KZ"/>
        </w:rPr>
        <w:t xml:space="preserve"> жүргізеді</w:t>
      </w:r>
      <w:r w:rsidR="00FE7E21" w:rsidRPr="00090B4D">
        <w:rPr>
          <w:sz w:val="28"/>
          <w:szCs w:val="28"/>
          <w:lang w:val="kk-KZ"/>
        </w:rPr>
        <w:t>;</w:t>
      </w:r>
    </w:p>
    <w:p w:rsidR="0038397E" w:rsidRPr="00090B4D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фото-бейнетіркеу құралдарын пайдалана отырып, терапевт қорытындысымен флюро тексеруден өткені туралы анықтама болған кезде бір </w:t>
      </w:r>
      <w:r w:rsidRPr="00090B4D">
        <w:rPr>
          <w:sz w:val="28"/>
          <w:szCs w:val="28"/>
          <w:lang w:val="kk-KZ"/>
        </w:rPr>
        <w:lastRenderedPageBreak/>
        <w:t>өкіл қол жеткізе отырып, ас блогын, қойма үй-жайларын, технологиялық жабдықты және т. б. көзбен шолып тексеру;</w:t>
      </w:r>
    </w:p>
    <w:p w:rsidR="0038397E" w:rsidRPr="00090B4D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қажет болған жағдайда </w:t>
      </w:r>
      <w:r w:rsidR="00E619C6" w:rsidRPr="00090B4D">
        <w:rPr>
          <w:sz w:val="28"/>
          <w:szCs w:val="28"/>
          <w:lang w:val="kk-KZ"/>
        </w:rPr>
        <w:t>С</w:t>
      </w:r>
      <w:r w:rsidRPr="00090B4D">
        <w:rPr>
          <w:sz w:val="28"/>
          <w:szCs w:val="28"/>
          <w:lang w:val="kk-KZ"/>
        </w:rPr>
        <w:t>араптама</w:t>
      </w:r>
      <w:r w:rsidR="00E619C6" w:rsidRPr="00090B4D">
        <w:rPr>
          <w:sz w:val="28"/>
          <w:szCs w:val="28"/>
          <w:lang w:val="kk-KZ"/>
        </w:rPr>
        <w:t>лық</w:t>
      </w:r>
      <w:r w:rsidRPr="00090B4D">
        <w:rPr>
          <w:sz w:val="28"/>
          <w:szCs w:val="28"/>
          <w:lang w:val="kk-KZ"/>
        </w:rPr>
        <w:t xml:space="preserve"> то</w:t>
      </w:r>
      <w:r w:rsidR="00E619C6" w:rsidRPr="00090B4D">
        <w:rPr>
          <w:sz w:val="28"/>
          <w:szCs w:val="28"/>
          <w:lang w:val="kk-KZ"/>
        </w:rPr>
        <w:t>п</w:t>
      </w:r>
      <w:r w:rsidRPr="00090B4D">
        <w:rPr>
          <w:sz w:val="28"/>
          <w:szCs w:val="28"/>
          <w:lang w:val="kk-KZ"/>
        </w:rPr>
        <w:t xml:space="preserve"> алдыңғы күндер</w:t>
      </w:r>
      <w:r w:rsidR="00E619C6" w:rsidRPr="00090B4D">
        <w:rPr>
          <w:sz w:val="28"/>
          <w:szCs w:val="28"/>
          <w:lang w:val="kk-KZ"/>
        </w:rPr>
        <w:t>дегі</w:t>
      </w:r>
      <w:r w:rsidRPr="00090B4D">
        <w:rPr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0B4D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0B4D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sz w:val="28"/>
          <w:szCs w:val="28"/>
        </w:rPr>
      </w:pPr>
      <w:r w:rsidRPr="00090B4D">
        <w:rPr>
          <w:sz w:val="28"/>
          <w:szCs w:val="28"/>
          <w:lang w:val="kk-KZ"/>
        </w:rPr>
        <w:t>6. Сараптамалық топ: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бұзушылықтар анықталған жағдайда </w:t>
      </w:r>
      <w:r w:rsidR="00E619C6" w:rsidRPr="00090B4D">
        <w:rPr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0B4D">
        <w:rPr>
          <w:sz w:val="28"/>
          <w:szCs w:val="28"/>
          <w:lang w:val="kk-KZ"/>
        </w:rPr>
        <w:t xml:space="preserve">аумақтық </w:t>
      </w:r>
      <w:r w:rsidR="00E619C6" w:rsidRPr="00090B4D">
        <w:rPr>
          <w:sz w:val="28"/>
          <w:szCs w:val="28"/>
          <w:lang w:val="kk-KZ"/>
        </w:rPr>
        <w:t>бөлімшелеріне</w:t>
      </w:r>
      <w:r w:rsidRPr="00090B4D">
        <w:rPr>
          <w:sz w:val="28"/>
          <w:szCs w:val="28"/>
          <w:lang w:val="kk-KZ"/>
        </w:rPr>
        <w:t xml:space="preserve"> тиісті өтінішпен жүгінуге;</w:t>
      </w:r>
    </w:p>
    <w:p w:rsidR="00FE7E21" w:rsidRPr="00090B4D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sz w:val="28"/>
          <w:szCs w:val="28"/>
          <w:lang w:val="kk-KZ"/>
        </w:rPr>
      </w:pPr>
      <w:r w:rsidRPr="00090B4D">
        <w:rPr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 w:rsidRPr="00090B4D">
        <w:rPr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</w:t>
      </w:r>
      <w:r w:rsidRPr="00090B4D">
        <w:rPr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5167E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берген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баға</w:t>
      </w:r>
      <w:r w:rsidR="0065167E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сын қамтитын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 xml:space="preserve">Сараптамалық топтың </w:t>
      </w:r>
      <w:r w:rsidR="0065167E" w:rsidRPr="00090B4D">
        <w:rPr>
          <w:rFonts w:ascii="Times New Roman" w:hAnsi="Times New Roman" w:cs="Times New Roman"/>
          <w:sz w:val="28"/>
          <w:szCs w:val="28"/>
          <w:lang w:val="kk-KZ"/>
        </w:rPr>
        <w:t>қызметін регламенттейтін қажетті құжаттама</w:t>
      </w:r>
      <w:r w:rsidRPr="00090B4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отырыстар хаттамалары;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жоспар-кесте;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мониторинг актісі (ай сайынғы бақылау);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0B4D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109A3" w:rsidRPr="00090B4D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90B4D" w:rsidRDefault="00333307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8397E" w:rsidRPr="00090B4D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2109A3" w:rsidRPr="00090B4D" w:rsidRDefault="0038397E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ведомствоаралық сараптама тобының актісі</w:t>
      </w:r>
    </w:p>
    <w:p w:rsidR="002109A3" w:rsidRPr="00090B4D" w:rsidRDefault="002109A3" w:rsidP="007F5D5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109A3" w:rsidRPr="00090B4D" w:rsidRDefault="00914B82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Бар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у к</w:t>
      </w:r>
      <w:r w:rsidR="002109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үні 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№______________</w:t>
      </w:r>
    </w:p>
    <w:p w:rsidR="002109A3" w:rsidRPr="00090B4D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араптама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лық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пт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ың мүшелері (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лауазымы) </w:t>
      </w:r>
      <w:r w:rsidR="00914B82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мынадай </w:t>
      </w:r>
      <w:r w:rsidR="00914B82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құрамда: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</w:t>
      </w:r>
    </w:p>
    <w:p w:rsidR="0015582B" w:rsidRPr="00090B4D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</w:t>
      </w:r>
      <w:r w:rsidR="008F01A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ның атауы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</w:t>
      </w:r>
      <w:r w:rsidR="00333307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</w:p>
    <w:p w:rsidR="008F01A3" w:rsidRPr="00090B4D" w:rsidRDefault="008F01A3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Тамақтану сапасын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мониторинг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жүргізу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жөніндегі комиссияның төрағасы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басшысы _________________________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="00333307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</w:p>
    <w:p w:rsidR="00B95903" w:rsidRPr="00090B4D" w:rsidRDefault="00914B82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құрамы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(Т.А.Ә., лауазымын көрсете отырып)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B9590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___________________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</w:t>
      </w:r>
      <w:r w:rsidR="00E0741D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</w:t>
      </w:r>
      <w:r w:rsidR="00B95903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</w:t>
      </w:r>
    </w:p>
    <w:p w:rsidR="00E0741D" w:rsidRPr="00090B4D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:rsidR="00E0741D" w:rsidRPr="00090B4D" w:rsidRDefault="00E0741D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:rsidR="0015582B" w:rsidRPr="00090B4D" w:rsidRDefault="0015582B" w:rsidP="0015582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Қызметті жеткізуші (болған жағдайда)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</w:t>
      </w:r>
      <w:r w:rsidR="00E0741D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</w:t>
      </w:r>
    </w:p>
    <w:p w:rsidR="005A2465" w:rsidRPr="00090B4D" w:rsidRDefault="005A2465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</w:t>
      </w:r>
      <w:r w:rsidR="00E0741D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</w:t>
      </w:r>
    </w:p>
    <w:p w:rsidR="00B95903" w:rsidRPr="00090B4D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контингенті (адам): 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="00E0741D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</w:t>
      </w:r>
      <w:r w:rsidR="0009610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</w:t>
      </w:r>
      <w:r w:rsidR="005A2465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</w:p>
    <w:p w:rsidR="002109A3" w:rsidRPr="00090B4D" w:rsidRDefault="00B95903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Ас блогы қызметкерлерінің саны, (адам): ________________________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8F01A3"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Т</w:t>
      </w:r>
      <w:r w:rsidR="008F01A3"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амақтандыруды ұйымдастыру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</w:t>
      </w:r>
      <w:r w:rsidR="008F01A3" w:rsidRPr="00090B4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0B4D" w:rsidRDefault="00CD5CC1" w:rsidP="00B9590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Сәйкес келеді</w:t>
            </w:r>
            <w:r w:rsidR="001F2343"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Сәйкес келмейді</w:t>
            </w:r>
            <w:r w:rsidR="001F2343"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Ескерту </w:t>
            </w: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Балалардың тамақтануы үшін жағдай жасау 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жекелеген санаттары үшін перспективалық мәзірдің 2012 жылғы 12 наурыздағы №320 ҚР ҮҚ бекіткен бір реттік тамақтану нормаларына сәйкестігі (15</w:t>
            </w:r>
            <w:r w:rsidR="00F35DDD"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FC062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Балалардың, ата-аналардың тамақтану сапасы бойынша с</w:t>
            </w:r>
            <w:r w:rsidR="00A86A10"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ұрауы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3066E" w:rsidRPr="00090B4D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Білім беру ұйымының сайтында, </w:t>
            </w:r>
            <w:r w:rsidR="00030227"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Күнделік</w:t>
            </w:r>
            <w:r w:rsidR="00030227"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тағамдардың фотолары бар 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0B4D" w:rsidRDefault="00E3066E" w:rsidP="007F5D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D523F" w:rsidRPr="00090B4D" w:rsidRDefault="00BD523F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109A3" w:rsidRPr="00090B4D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Тексеру нәтижесінде мыналар белгіленді</w:t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719DC" w:rsidRPr="00090B4D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  <w:r w:rsidR="00F719DC" w:rsidRPr="00090B4D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109A3" w:rsidRPr="00090B4D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Комиссия</w:t>
      </w:r>
      <w:r w:rsidR="00030227"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мүшелері</w:t>
      </w:r>
      <w:r w:rsidR="00030227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                                                                                    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109A3" w:rsidRPr="00090B4D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="00333307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(қолдары)</w:t>
      </w:r>
    </w:p>
    <w:p w:rsidR="002109A3" w:rsidRPr="00090B4D" w:rsidRDefault="002109A3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 беру ұйымының басшысы таныстырылды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</w:t>
      </w:r>
      <w:r w:rsidR="00030227"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(қолы)</w:t>
      </w: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0741D" w:rsidRPr="00090B4D" w:rsidRDefault="00E0741D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</w:t>
      </w:r>
    </w:p>
    <w:p w:rsidR="00333307" w:rsidRPr="00090B4D" w:rsidRDefault="00333307" w:rsidP="00333307">
      <w:pPr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деятельности</w:t>
      </w:r>
    </w:p>
    <w:p w:rsidR="00333307" w:rsidRPr="00090B4D" w:rsidRDefault="00333307" w:rsidP="00333307">
      <w:pPr>
        <w:tabs>
          <w:tab w:val="left" w:pos="1134"/>
          <w:tab w:val="left" w:pos="18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межведомственных экспертных групп </w:t>
      </w:r>
    </w:p>
    <w:p w:rsidR="00333307" w:rsidRPr="00090B4D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по контролю за качеством питания</w:t>
      </w:r>
    </w:p>
    <w:p w:rsidR="00333307" w:rsidRPr="00090B4D" w:rsidRDefault="00333307" w:rsidP="00333307">
      <w:pPr>
        <w:tabs>
          <w:tab w:val="left" w:pos="0"/>
          <w:tab w:val="left" w:pos="113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hAnsi="Times New Roman" w:cs="Times New Roman"/>
          <w:sz w:val="28"/>
          <w:szCs w:val="28"/>
        </w:rPr>
        <w:t>1</w:t>
      </w:r>
      <w:r w:rsidRPr="00090B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 w:rsidRPr="00090B4D">
        <w:rPr>
          <w:rFonts w:ascii="Times New Roman" w:hAnsi="Times New Roman" w:cs="Times New Roman"/>
          <w:sz w:val="28"/>
          <w:szCs w:val="28"/>
        </w:rPr>
        <w:t>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Задачи Экспертной группы: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бракеражных комиссий;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 контроль за организацией питания детей;</w:t>
      </w:r>
    </w:p>
    <w:p w:rsidR="00333307" w:rsidRPr="00090B4D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 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090B4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B4D">
        <w:rPr>
          <w:rFonts w:ascii="Times New Roman" w:hAnsi="Times New Roman" w:cs="Times New Roman"/>
          <w:sz w:val="28"/>
          <w:szCs w:val="28"/>
        </w:rPr>
        <w:t>2</w:t>
      </w:r>
      <w:r w:rsidRPr="00090B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B4D">
        <w:rPr>
          <w:rFonts w:ascii="Times New Roman" w:hAnsi="Times New Roman" w:cs="Times New Roman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Pr="00090B4D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90B4D">
        <w:rPr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 w:rsidRPr="00090B4D">
        <w:rPr>
          <w:sz w:val="28"/>
          <w:szCs w:val="28"/>
          <w:lang w:val="kk-KZ"/>
        </w:rPr>
        <w:t xml:space="preserve">неправительственных организаций </w:t>
      </w:r>
      <w:r w:rsidRPr="00090B4D">
        <w:rPr>
          <w:sz w:val="28"/>
          <w:szCs w:val="28"/>
        </w:rPr>
        <w:t>в сфере детства.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Состав группы может меняться при необходимости.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Рекомендуется ежегодное обновление состава комиссии.</w:t>
      </w:r>
    </w:p>
    <w:p w:rsidR="00333307" w:rsidRPr="00090B4D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90B4D">
        <w:rPr>
          <w:sz w:val="28"/>
          <w:szCs w:val="28"/>
        </w:rPr>
        <w:t>Вид Экспертной группы:</w:t>
      </w:r>
    </w:p>
    <w:p w:rsidR="00333307" w:rsidRPr="00090B4D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90B4D">
        <w:rPr>
          <w:sz w:val="28"/>
          <w:szCs w:val="28"/>
        </w:rPr>
        <w:t>- районная;</w:t>
      </w:r>
    </w:p>
    <w:p w:rsidR="00333307" w:rsidRPr="00090B4D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90B4D">
        <w:rPr>
          <w:sz w:val="28"/>
          <w:szCs w:val="28"/>
        </w:rPr>
        <w:t>- городская;</w:t>
      </w:r>
    </w:p>
    <w:p w:rsidR="00333307" w:rsidRPr="00090B4D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90B4D">
        <w:rPr>
          <w:sz w:val="28"/>
          <w:szCs w:val="28"/>
        </w:rPr>
        <w:t>- областная.</w:t>
      </w:r>
    </w:p>
    <w:p w:rsidR="00333307" w:rsidRPr="00090B4D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090B4D">
        <w:rPr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Экспертная группа составляет план-график мониторинга по организации качества питания, исходя из следующего плана посещений: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равенства голосов принятым считается решение, за которое проголосовал председательствующий.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Экспертная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5. Экспертная группа выполняет следующие функции: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мониторинг наличия соответствующих документов, удостоверяющих качество продуктов питания, используемых в процессе приготовления пищи для обучающихся и воспитанников;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 с доступом одного представителя, при наличии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, с использованием средств фото-видеофиксации;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6. Экспертная группа имеет право: 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090B4D">
        <w:rPr>
          <w:rFonts w:ascii="Times New Roman" w:hAnsi="Times New Roman" w:cs="Times New Roman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090B4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lastRenderedPageBreak/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Экспертной группы;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план работы Экспертной группы на год;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333307" w:rsidRPr="00090B4D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333307" w:rsidRPr="00090B4D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90B4D" w:rsidRDefault="00333307" w:rsidP="0033330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90B4D" w:rsidRDefault="00333307" w:rsidP="00333307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  <w:t>АКТ</w:t>
      </w:r>
    </w:p>
    <w:p w:rsidR="00333307" w:rsidRPr="00090B4D" w:rsidRDefault="00333307" w:rsidP="0033330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4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</w:t>
      </w:r>
    </w:p>
    <w:p w:rsidR="00333307" w:rsidRPr="00090B4D" w:rsidRDefault="00333307" w:rsidP="0033330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hAnsi="Times New Roman" w:cs="Times New Roman"/>
          <w:b/>
          <w:sz w:val="28"/>
          <w:szCs w:val="28"/>
        </w:rPr>
        <w:t>по контролю за качеством питания</w:t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Дата посещения: 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№_________________________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Pr="00090B4D">
        <w:rPr>
          <w:rFonts w:ascii="Times New Roman" w:eastAsia="Times New Roman" w:hAnsi="Times New Roman" w:cs="Times New Roman"/>
          <w:sz w:val="28"/>
          <w:szCs w:val="28"/>
          <w:lang w:val="kk-KZ"/>
        </w:rPr>
        <w:t>Экспертной группы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</w:rPr>
        <w:t xml:space="preserve">(Ф.И.О. с указанием должности)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в составе:____________ _______________________________________________________________________________________________________________________________________________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- руководитель организации образования: _________________________________________________</w:t>
      </w:r>
    </w:p>
    <w:p w:rsidR="00333307" w:rsidRPr="00090B4D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Состав членов комиссии по мониторингу качества питания (бракеражная комиссия)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</w:rPr>
        <w:t>(Ф.И.О. с указанием должности)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</w:t>
      </w:r>
    </w:p>
    <w:p w:rsidR="00333307" w:rsidRPr="00090B4D" w:rsidRDefault="00333307" w:rsidP="00333307">
      <w:pPr>
        <w:tabs>
          <w:tab w:val="left" w:pos="184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090B4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Контингент организации образования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</w:rPr>
        <w:t>(чел.):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Количество сотрудников пищеблока, </w:t>
      </w:r>
      <w:r w:rsidRPr="00090B4D">
        <w:rPr>
          <w:rFonts w:ascii="Times New Roman" w:eastAsia="Times New Roman" w:hAnsi="Times New Roman" w:cs="Times New Roman"/>
          <w:i/>
          <w:sz w:val="28"/>
          <w:szCs w:val="28"/>
        </w:rPr>
        <w:t>(чел.):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i/>
          <w:sz w:val="28"/>
          <w:szCs w:val="28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твует (имеется)</w:t>
            </w: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соответствует (не имеется)</w:t>
            </w: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ечание</w:t>
            </w:r>
          </w:p>
        </w:tc>
      </w:tr>
      <w:tr w:rsidR="00333307" w:rsidRPr="00090B4D" w:rsidTr="00E0741D">
        <w:trPr>
          <w:trHeight w:val="782"/>
        </w:trPr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вопросам пропаганды здорового питания детей и </w:t>
            </w:r>
            <w:r w:rsidRPr="00090B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формирования культуры питания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307" w:rsidRPr="00090B4D" w:rsidTr="00E0741D">
        <w:tc>
          <w:tcPr>
            <w:tcW w:w="567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103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сайте организации образования, в системе «К</w:t>
            </w:r>
            <w:r w:rsidRPr="00090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ндел</w:t>
            </w:r>
            <w:r w:rsidRPr="00090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</w:t>
            </w: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>» информации о</w:t>
            </w:r>
            <w:r w:rsidRPr="00090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организации</w:t>
            </w: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 xml:space="preserve"> питани</w:t>
            </w:r>
            <w:r w:rsidRPr="00090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090B4D">
              <w:rPr>
                <w:rFonts w:ascii="Times New Roman" w:hAnsi="Times New Roman" w:cs="Times New Roman"/>
                <w:sz w:val="28"/>
                <w:szCs w:val="28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333307" w:rsidRPr="00090B4D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________________________________(подпись)</w:t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307" w:rsidRPr="00090B4D" w:rsidRDefault="00333307" w:rsidP="0033330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B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090B4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</w:t>
      </w:r>
      <w:r w:rsidRPr="00090B4D">
        <w:rPr>
          <w:rFonts w:ascii="Times New Roman" w:eastAsia="Times New Roman" w:hAnsi="Times New Roman" w:cs="Times New Roman"/>
          <w:sz w:val="28"/>
          <w:szCs w:val="28"/>
        </w:rPr>
        <w:t>____(подпись)</w:t>
      </w:r>
    </w:p>
    <w:bookmarkEnd w:id="0"/>
    <w:p w:rsidR="00333307" w:rsidRPr="00090B4D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3307" w:rsidRPr="00090B4D" w:rsidSect="00E203A7">
      <w:headerReference w:type="default" r:id="rId8"/>
      <w:headerReference w:type="firs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AF" w:rsidRDefault="00D756AF" w:rsidP="00BC1EC3">
      <w:r>
        <w:separator/>
      </w:r>
    </w:p>
  </w:endnote>
  <w:endnote w:type="continuationSeparator" w:id="0">
    <w:p w:rsidR="00D756AF" w:rsidRDefault="00D756AF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AF" w:rsidRDefault="00D756AF" w:rsidP="00BC1EC3">
      <w:r>
        <w:separator/>
      </w:r>
    </w:p>
  </w:footnote>
  <w:footnote w:type="continuationSeparator" w:id="0">
    <w:p w:rsidR="00D756AF" w:rsidRDefault="00D756AF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B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04.09.2020 ЭҚАБЖ МО (7.23.0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04.09.2020 ЭҚАБЖ МО (7.23.0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 w15:restartNumberingAfterBreak="0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0B4D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756AF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83064-B6A0-4197-9A84-AF1E3CA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Заголовок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B019-101E-411E-A2FB-872FE7A6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Юзер</cp:lastModifiedBy>
  <cp:revision>3</cp:revision>
  <cp:lastPrinted>2020-03-16T13:43:00Z</cp:lastPrinted>
  <dcterms:created xsi:type="dcterms:W3CDTF">2020-09-17T05:10:00Z</dcterms:created>
  <dcterms:modified xsi:type="dcterms:W3CDTF">2020-10-12T05:55:00Z</dcterms:modified>
</cp:coreProperties>
</file>