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9F3316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4F663A">
        <w:trPr>
          <w:trHeight w:val="3514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D8D7A" w14:textId="67349E6D" w:rsidR="00DD0E84" w:rsidRDefault="009A017D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DD0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2F1F41F0" w:rsidR="009A017D" w:rsidRDefault="003F0378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4893DF8A" w:rsidR="009A017D" w:rsidRPr="00531DF6" w:rsidRDefault="003F0378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</w:t>
            </w:r>
            <w:proofErr w:type="gramStart"/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девочки)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7901E5CF" w:rsidR="007C3DA3" w:rsidRDefault="003F0378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42DF47C6" w:rsidR="00612A85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1A81CDD6" w:rsidR="00393FA3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6985FC5A" w14:textId="56F007DC" w:rsidR="00DD0E84" w:rsidRDefault="000339EA" w:rsidP="009F331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7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. ПЕДАГОГ – АССИСТЕНТ с русским языком </w:t>
            </w:r>
            <w:proofErr w:type="gramStart"/>
            <w:r w:rsidR="00DD0E84" w:rsidRPr="00DD0E84">
              <w:rPr>
                <w:rFonts w:cs="Times New Roman"/>
                <w:sz w:val="24"/>
                <w:szCs w:val="24"/>
              </w:rPr>
              <w:t>обучения  -</w:t>
            </w:r>
            <w:proofErr w:type="gramEnd"/>
            <w:r w:rsidR="00DD0E84" w:rsidRPr="00DD0E84">
              <w:rPr>
                <w:rFonts w:cs="Times New Roman"/>
                <w:sz w:val="24"/>
                <w:szCs w:val="24"/>
              </w:rPr>
              <w:t xml:space="preserve"> </w:t>
            </w:r>
            <w:r w:rsidR="00FD6850" w:rsidRPr="00FD6850">
              <w:rPr>
                <w:rFonts w:cs="Times New Roman"/>
                <w:sz w:val="24"/>
                <w:szCs w:val="24"/>
              </w:rPr>
              <w:t xml:space="preserve">2 </w:t>
            </w:r>
            <w:r w:rsidR="00DD0E84" w:rsidRPr="00DD0E84">
              <w:rPr>
                <w:rFonts w:cs="Times New Roman"/>
                <w:sz w:val="24"/>
                <w:szCs w:val="24"/>
              </w:rPr>
              <w:t>единиц</w:t>
            </w:r>
            <w:r w:rsidR="003F0378">
              <w:rPr>
                <w:rFonts w:cs="Times New Roman"/>
                <w:sz w:val="24"/>
                <w:szCs w:val="24"/>
              </w:rPr>
              <w:t>ы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( </w:t>
            </w:r>
            <w:r w:rsidR="00FD6850" w:rsidRPr="00FD6850">
              <w:rPr>
                <w:rFonts w:cs="Times New Roman"/>
                <w:sz w:val="24"/>
                <w:szCs w:val="24"/>
              </w:rPr>
              <w:t>2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ставк</w:t>
            </w:r>
            <w:r w:rsidR="003F0378">
              <w:rPr>
                <w:rFonts w:cs="Times New Roman"/>
                <w:sz w:val="24"/>
                <w:szCs w:val="24"/>
              </w:rPr>
              <w:t>и</w:t>
            </w:r>
            <w:r w:rsidR="00DD0E84" w:rsidRPr="00DD0E84">
              <w:rPr>
                <w:rFonts w:cs="Times New Roman"/>
                <w:sz w:val="24"/>
                <w:szCs w:val="24"/>
              </w:rPr>
              <w:t>)</w:t>
            </w:r>
          </w:p>
          <w:p w14:paraId="644637AE" w14:textId="77777777" w:rsidR="004F663A" w:rsidRDefault="009F3316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. ПЕДАГОГ –ОРГАНИЗАТОР – 1 единица (1 ставка)</w:t>
            </w:r>
          </w:p>
          <w:p w14:paraId="6686623C" w14:textId="77777777" w:rsidR="009F3316" w:rsidRDefault="00FD6850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6850"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 xml:space="preserve">9. УЧИТЕЛЬ МАТЕМАТИКИ с русским языком обучения – 1 </w:t>
            </w:r>
            <w:proofErr w:type="gramStart"/>
            <w:r w:rsidR="004F663A">
              <w:rPr>
                <w:rFonts w:cs="Times New Roman"/>
                <w:sz w:val="24"/>
                <w:szCs w:val="24"/>
              </w:rPr>
              <w:t>единица  (</w:t>
            </w:r>
            <w:proofErr w:type="gramEnd"/>
            <w:r w:rsidR="004F663A">
              <w:rPr>
                <w:rFonts w:cs="Times New Roman"/>
                <w:sz w:val="24"/>
                <w:szCs w:val="24"/>
              </w:rPr>
              <w:t xml:space="preserve">1 ставка) </w:t>
            </w:r>
          </w:p>
          <w:p w14:paraId="4EF3207B" w14:textId="7ACB5B9C" w:rsidR="00FD6850" w:rsidRPr="00DD0E84" w:rsidRDefault="00FD6850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94E58CE" w14:textId="77777777" w:rsidR="00D87DE0" w:rsidRDefault="00D87DE0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28A9145" w14:textId="4DE80681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107BB0">
        <w:trPr>
          <w:trHeight w:val="9610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9F3316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9F3316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9F3316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FD685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11BCCF94" w14:textId="77777777" w:rsidR="00107BB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 </w:t>
            </w:r>
          </w:p>
          <w:p w14:paraId="66450B30" w14:textId="77777777" w:rsidR="00107BB0" w:rsidRDefault="00107BB0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66056F93" w14:textId="77777777" w:rsidR="00107BB0" w:rsidRDefault="00107BB0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7D49113D" w14:textId="01CB0EDA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240BF79F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4F663A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</w:t>
      </w:r>
      <w:r w:rsidR="00FD6850" w:rsidRPr="00FD685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="00FD6850" w:rsidRPr="00FD685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72909B25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FD6850" w:rsidRPr="00FD685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FD6850" w:rsidRPr="00FD685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D6850">
        <w:rPr>
          <w:rFonts w:eastAsia="Times New Roman" w:cs="Times New Roman"/>
          <w:b/>
          <w:bCs/>
          <w:color w:val="000000"/>
          <w:sz w:val="21"/>
          <w:szCs w:val="21"/>
          <w:lang w:val="en-US" w:eastAsia="ru-RU"/>
        </w:rPr>
        <w:t>3</w:t>
      </w:r>
      <w:bookmarkStart w:id="0" w:name="_GoBack"/>
      <w:bookmarkEnd w:id="0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709E848A" w14:textId="4C04D58F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339EA"/>
    <w:rsid w:val="00086D8B"/>
    <w:rsid w:val="000A1C73"/>
    <w:rsid w:val="00107BB0"/>
    <w:rsid w:val="001825E3"/>
    <w:rsid w:val="0020763B"/>
    <w:rsid w:val="0022720E"/>
    <w:rsid w:val="00332B6A"/>
    <w:rsid w:val="003466E5"/>
    <w:rsid w:val="00393FA3"/>
    <w:rsid w:val="003F0378"/>
    <w:rsid w:val="0049465B"/>
    <w:rsid w:val="004A0C6A"/>
    <w:rsid w:val="004F1681"/>
    <w:rsid w:val="004F663A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9F3316"/>
    <w:rsid w:val="00A100D7"/>
    <w:rsid w:val="00A15ED5"/>
    <w:rsid w:val="00B31F41"/>
    <w:rsid w:val="00BB186F"/>
    <w:rsid w:val="00C52A94"/>
    <w:rsid w:val="00D87DE0"/>
    <w:rsid w:val="00DB0CC8"/>
    <w:rsid w:val="00DC44AF"/>
    <w:rsid w:val="00DD0E84"/>
    <w:rsid w:val="00EA2B56"/>
    <w:rsid w:val="00EF3097"/>
    <w:rsid w:val="00F24460"/>
    <w:rsid w:val="00F80A37"/>
    <w:rsid w:val="00F96D0A"/>
    <w:rsid w:val="00FC43D1"/>
    <w:rsid w:val="00FD685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3A0E"/>
  <w15:chartTrackingRefBased/>
  <w15:docId w15:val="{97368619-71B9-4727-8FCE-792F730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cp:lastPrinted>2023-12-15T08:14:00Z</cp:lastPrinted>
  <dcterms:created xsi:type="dcterms:W3CDTF">2023-12-21T08:37:00Z</dcterms:created>
  <dcterms:modified xsi:type="dcterms:W3CDTF">2023-12-21T08:37:00Z</dcterms:modified>
</cp:coreProperties>
</file>